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3E1B8A" w:rsidRDefault="00711866" w:rsidP="00711866">
      <w:pPr>
        <w:spacing w:line="480" w:lineRule="auto"/>
        <w:jc w:val="center"/>
        <w:rPr>
          <w:rFonts w:ascii="Times New Roman" w:hAnsi="Times New Roman" w:cs="Times New Roman"/>
          <w:sz w:val="24"/>
          <w:szCs w:val="24"/>
        </w:rPr>
      </w:pPr>
      <w:r>
        <w:rPr>
          <w:rFonts w:ascii="Times New Roman" w:hAnsi="Times New Roman" w:cs="Times New Roman"/>
          <w:sz w:val="24"/>
          <w:szCs w:val="24"/>
        </w:rPr>
        <w:t>New Media and Conflict after the Arab Spring</w:t>
      </w:r>
    </w:p>
    <w:p w:rsidR="00711866" w:rsidRDefault="00711866" w:rsidP="007118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1866" w:rsidRDefault="00711866" w:rsidP="007118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p>
    <w:p w:rsidR="00711866" w:rsidRDefault="00711866" w:rsidP="007118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New Media and Conflict after the Arab Spring</w:t>
      </w:r>
    </w:p>
    <w:p w:rsidR="00436EA4" w:rsidRPr="00436EA4" w:rsidRDefault="00D842F2" w:rsidP="00436EA4">
      <w:pPr>
        <w:spacing w:line="480" w:lineRule="auto"/>
        <w:rPr>
          <w:rFonts w:ascii="Times New Roman" w:hAnsi="Times New Roman" w:cs="Times New Roman"/>
          <w:sz w:val="24"/>
          <w:szCs w:val="24"/>
        </w:rPr>
      </w:pPr>
      <w:r>
        <w:rPr>
          <w:rFonts w:ascii="Times New Roman" w:hAnsi="Times New Roman" w:cs="Times New Roman"/>
          <w:sz w:val="24"/>
          <w:szCs w:val="24"/>
        </w:rPr>
        <w:tab/>
      </w:r>
      <w:r w:rsidR="00436EA4" w:rsidRPr="00436EA4">
        <w:rPr>
          <w:rFonts w:ascii="Times New Roman" w:hAnsi="Times New Roman" w:cs="Times New Roman"/>
          <w:sz w:val="24"/>
          <w:szCs w:val="24"/>
        </w:rPr>
        <w:t xml:space="preserve">The article delineates how a new wave swept the Arabic region of the world in 2011 with regards to reform protests. In this regard, massive mobilization was needed to remove oppressive leaders like the one in Tunisia from power. Also, the struggles in Bahrain, Yemen, Syria, and Libya were boosted with the help of Egypt's experience. The revolutions were instrumental in the transformation of the political climate within the Middle East and North Africa (Aday et al., 2012). The analysis of how new media aided in the successes of these revolts shows that they had an insignificant contribution to regional diffusion and collective action. Even though social media did not help in the cause of the struggles, it does demonstrate that digital platforms were irrelevant. The article articulately describes how new media technologies such as link data or Twitter are ineffectual in offering robust support required to back significant claims associated with protests in the Arab world. </w:t>
      </w:r>
    </w:p>
    <w:p w:rsidR="00436EA4" w:rsidRPr="00436EA4" w:rsidRDefault="00436EA4" w:rsidP="00436EA4">
      <w:pPr>
        <w:spacing w:line="480" w:lineRule="auto"/>
        <w:rPr>
          <w:rFonts w:ascii="Times New Roman" w:hAnsi="Times New Roman" w:cs="Times New Roman"/>
          <w:sz w:val="24"/>
          <w:szCs w:val="24"/>
        </w:rPr>
      </w:pPr>
      <w:r w:rsidRPr="00436EA4">
        <w:rPr>
          <w:rFonts w:ascii="Times New Roman" w:hAnsi="Times New Roman" w:cs="Times New Roman"/>
          <w:sz w:val="24"/>
          <w:szCs w:val="24"/>
        </w:rPr>
        <w:t xml:space="preserve">           Moreover, media channels that apply bit.ly were established to be effective in disseminating information to outside regions as opposed to internally. In this regard, the outlets are analogous to megaphones that are used to create extensive awareness of the outcry of the public. The significance of the dissemination can be measured from the boomerang effect that was crucial in attracting the international community's attention. As a result, the channels were able to create international pressure against oppressive regimes in the Arab world. Also, it helps reduce the chances of violence erupting to make radical reforms in the Arabic political systems.</w:t>
      </w:r>
    </w:p>
    <w:p w:rsidR="00436EA4" w:rsidRPr="00436EA4" w:rsidRDefault="00436EA4" w:rsidP="00436EA4">
      <w:pPr>
        <w:spacing w:line="480" w:lineRule="auto"/>
        <w:rPr>
          <w:rFonts w:ascii="Times New Roman" w:hAnsi="Times New Roman" w:cs="Times New Roman"/>
          <w:sz w:val="24"/>
          <w:szCs w:val="24"/>
        </w:rPr>
      </w:pPr>
      <w:r w:rsidRPr="00436EA4">
        <w:rPr>
          <w:rFonts w:ascii="Times New Roman" w:hAnsi="Times New Roman" w:cs="Times New Roman"/>
          <w:sz w:val="24"/>
          <w:szCs w:val="24"/>
        </w:rPr>
        <w:t xml:space="preserve">           In addition, the difficulty in differentiating the impact novel and traditional media limited the ability to assess their effectiveness in championing change among the masses. However, it should be noted that the two media complimented each other to reinforce the messages being </w:t>
      </w:r>
      <w:r w:rsidRPr="00436EA4">
        <w:rPr>
          <w:rFonts w:ascii="Times New Roman" w:hAnsi="Times New Roman" w:cs="Times New Roman"/>
          <w:sz w:val="24"/>
          <w:szCs w:val="24"/>
        </w:rPr>
        <w:lastRenderedPageBreak/>
        <w:t>disseminated within public spheres. The new media was distinctive since it created a broader information platform that was able to alienate the complex interplay between the two frameworks. The analysis of four major protests that occurred during the Arab Spring in Egypt, Bahrain, Libya, and Tunisia shows that the protests had considerable differences (Aday et al., 2012). The differences were based on the level of mass awareness data found on social sites. The article provides evidence that the Egyptian revolution garnered more engagements alluding to clicks and comments. Also, it shows that Egypt had a larger number of website links as compared to Bahrain and Tunisia.</w:t>
      </w:r>
    </w:p>
    <w:p w:rsidR="00973DF0" w:rsidRDefault="00436EA4" w:rsidP="00436EA4">
      <w:pPr>
        <w:spacing w:line="480" w:lineRule="auto"/>
        <w:rPr>
          <w:rFonts w:ascii="Times New Roman" w:hAnsi="Times New Roman" w:cs="Times New Roman"/>
          <w:sz w:val="24"/>
          <w:szCs w:val="24"/>
        </w:rPr>
      </w:pPr>
      <w:r w:rsidRPr="00436EA4">
        <w:rPr>
          <w:rFonts w:ascii="Times New Roman" w:hAnsi="Times New Roman" w:cs="Times New Roman"/>
          <w:sz w:val="24"/>
          <w:szCs w:val="24"/>
        </w:rPr>
        <w:t xml:space="preserve">           Furthermore, there is empirical evidence that Libyan and Egyptian protests attracted massive attention as opposed to the other three revolting nations. The researchers determine that the level of attention put on the protests in Libya and Egypt was based on the content of the messages. Thus, less extensive and comprehensive content led to reduced attention from international, national, and regional quarters. Specific hashtags such as #jan25 attracted a disproportionate share of attention besides being popularized in social media platforms such as Twitter (Aday et al., 2012). The trends discussed above depicted optimal attention in situations where there were dramatic occurrences, for instance, such as the exit of Ben Ali from Tunisia. Other dramatic events that attracted massive attention included the raid carried out on the Pearl Roundabout in Bahrain and other critical aspects of the war in Egypt. Notably, the departure of Mubarak and resignation from power was also created an internet boom.</w:t>
      </w:r>
    </w:p>
    <w:p w:rsidR="00436EA4" w:rsidRDefault="00436EA4" w:rsidP="00436EA4">
      <w:pPr>
        <w:spacing w:line="480" w:lineRule="auto"/>
        <w:rPr>
          <w:rFonts w:ascii="Times New Roman" w:hAnsi="Times New Roman" w:cs="Times New Roman"/>
          <w:sz w:val="24"/>
          <w:szCs w:val="24"/>
        </w:rPr>
      </w:pPr>
    </w:p>
    <w:p w:rsidR="00436EA4" w:rsidRDefault="00436EA4" w:rsidP="00436EA4">
      <w:pPr>
        <w:spacing w:line="480" w:lineRule="auto"/>
        <w:rPr>
          <w:rFonts w:ascii="Times New Roman" w:hAnsi="Times New Roman" w:cs="Times New Roman"/>
          <w:sz w:val="24"/>
          <w:szCs w:val="24"/>
        </w:rPr>
      </w:pPr>
      <w:bookmarkStart w:id="0" w:name="_GoBack"/>
      <w:bookmarkEnd w:id="0"/>
    </w:p>
    <w:p w:rsidR="00973DF0" w:rsidRDefault="00973DF0" w:rsidP="00D842F2">
      <w:pPr>
        <w:spacing w:line="480" w:lineRule="auto"/>
        <w:rPr>
          <w:rFonts w:ascii="Times New Roman" w:hAnsi="Times New Roman" w:cs="Times New Roman"/>
          <w:sz w:val="24"/>
          <w:szCs w:val="24"/>
        </w:rPr>
      </w:pPr>
    </w:p>
    <w:p w:rsidR="00973DF0" w:rsidRDefault="00973DF0" w:rsidP="00973D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73DF0" w:rsidRDefault="00973DF0" w:rsidP="00973DF0">
      <w:pPr>
        <w:spacing w:line="480" w:lineRule="auto"/>
        <w:rPr>
          <w:rFonts w:ascii="Times New Roman" w:hAnsi="Times New Roman" w:cs="Times New Roman"/>
          <w:sz w:val="24"/>
          <w:szCs w:val="24"/>
        </w:rPr>
      </w:pPr>
      <w:r>
        <w:rPr>
          <w:rFonts w:ascii="Times New Roman" w:hAnsi="Times New Roman" w:cs="Times New Roman"/>
          <w:sz w:val="24"/>
          <w:szCs w:val="24"/>
        </w:rPr>
        <w:t xml:space="preserve">Aday, S., Farell, H., Lynch, M., Sides, J., &amp; Freelon, D. (2012). New media and conflict after the </w:t>
      </w:r>
    </w:p>
    <w:p w:rsidR="00973DF0" w:rsidRPr="00711866" w:rsidRDefault="00973DF0" w:rsidP="00973DF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Arab Spring. Peace Works, 1-28. </w:t>
      </w:r>
    </w:p>
    <w:sectPr w:rsidR="00973DF0" w:rsidRPr="00711866" w:rsidSect="007118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034" w:rsidRDefault="001D6034" w:rsidP="00711866">
      <w:pPr>
        <w:spacing w:after="0" w:line="240" w:lineRule="auto"/>
      </w:pPr>
      <w:r>
        <w:separator/>
      </w:r>
    </w:p>
  </w:endnote>
  <w:endnote w:type="continuationSeparator" w:id="0">
    <w:p w:rsidR="001D6034" w:rsidRDefault="001D6034" w:rsidP="00711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034" w:rsidRDefault="001D6034" w:rsidP="00711866">
      <w:pPr>
        <w:spacing w:after="0" w:line="240" w:lineRule="auto"/>
      </w:pPr>
      <w:r>
        <w:separator/>
      </w:r>
    </w:p>
  </w:footnote>
  <w:footnote w:type="continuationSeparator" w:id="0">
    <w:p w:rsidR="001D6034" w:rsidRDefault="001D6034" w:rsidP="00711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866" w:rsidRPr="00711866" w:rsidRDefault="00711866" w:rsidP="00711866">
    <w:pPr>
      <w:pStyle w:val="Header"/>
      <w:spacing w:line="480" w:lineRule="auto"/>
      <w:rPr>
        <w:rFonts w:ascii="Times New Roman" w:hAnsi="Times New Roman" w:cs="Times New Roman"/>
        <w:sz w:val="24"/>
        <w:szCs w:val="24"/>
      </w:rPr>
    </w:pPr>
    <w:r w:rsidRPr="00711866">
      <w:rPr>
        <w:rFonts w:ascii="Times New Roman" w:hAnsi="Times New Roman" w:cs="Times New Roman"/>
        <w:sz w:val="24"/>
        <w:szCs w:val="24"/>
      </w:rPr>
      <w:t>PEACE WORKS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1866">
      <w:rPr>
        <w:rFonts w:ascii="Times New Roman" w:hAnsi="Times New Roman" w:cs="Times New Roman"/>
        <w:sz w:val="24"/>
        <w:szCs w:val="24"/>
      </w:rPr>
      <w:t xml:space="preserve"> </w:t>
    </w:r>
    <w:sdt>
      <w:sdtPr>
        <w:rPr>
          <w:rFonts w:ascii="Times New Roman" w:hAnsi="Times New Roman" w:cs="Times New Roman"/>
          <w:sz w:val="24"/>
          <w:szCs w:val="24"/>
        </w:rPr>
        <w:id w:val="-1659532032"/>
        <w:docPartObj>
          <w:docPartGallery w:val="Page Numbers (Top of Page)"/>
          <w:docPartUnique/>
        </w:docPartObj>
      </w:sdtPr>
      <w:sdtEndPr>
        <w:rPr>
          <w:noProof/>
        </w:rPr>
      </w:sdtEndPr>
      <w:sdtContent>
        <w:r w:rsidRPr="00711866">
          <w:rPr>
            <w:rFonts w:ascii="Times New Roman" w:hAnsi="Times New Roman" w:cs="Times New Roman"/>
            <w:sz w:val="24"/>
            <w:szCs w:val="24"/>
          </w:rPr>
          <w:fldChar w:fldCharType="begin"/>
        </w:r>
        <w:r w:rsidRPr="00711866">
          <w:rPr>
            <w:rFonts w:ascii="Times New Roman" w:hAnsi="Times New Roman" w:cs="Times New Roman"/>
            <w:sz w:val="24"/>
            <w:szCs w:val="24"/>
          </w:rPr>
          <w:instrText xml:space="preserve"> PAGE   \* MERGEFORMAT </w:instrText>
        </w:r>
        <w:r w:rsidRPr="00711866">
          <w:rPr>
            <w:rFonts w:ascii="Times New Roman" w:hAnsi="Times New Roman" w:cs="Times New Roman"/>
            <w:sz w:val="24"/>
            <w:szCs w:val="24"/>
          </w:rPr>
          <w:fldChar w:fldCharType="separate"/>
        </w:r>
        <w:r w:rsidR="00436EA4">
          <w:rPr>
            <w:rFonts w:ascii="Times New Roman" w:hAnsi="Times New Roman" w:cs="Times New Roman"/>
            <w:noProof/>
            <w:sz w:val="24"/>
            <w:szCs w:val="24"/>
          </w:rPr>
          <w:t>4</w:t>
        </w:r>
        <w:r w:rsidRPr="00711866">
          <w:rPr>
            <w:rFonts w:ascii="Times New Roman" w:hAnsi="Times New Roman" w:cs="Times New Roman"/>
            <w:noProof/>
            <w:sz w:val="24"/>
            <w:szCs w:val="24"/>
          </w:rPr>
          <w:fldChar w:fldCharType="end"/>
        </w:r>
      </w:sdtContent>
    </w:sdt>
  </w:p>
  <w:p w:rsidR="00711866" w:rsidRDefault="007118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866" w:rsidRDefault="00711866" w:rsidP="00711866">
    <w:pPr>
      <w:pStyle w:val="Header"/>
      <w:spacing w:line="480" w:lineRule="auto"/>
    </w:pPr>
    <w:r w:rsidRPr="00711866">
      <w:rPr>
        <w:rFonts w:ascii="Times New Roman" w:hAnsi="Times New Roman" w:cs="Times New Roman"/>
        <w:sz w:val="24"/>
        <w:szCs w:val="24"/>
      </w:rPr>
      <w:t>Running head: PEACE WORKS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1866">
      <w:rPr>
        <w:rFonts w:ascii="Times New Roman" w:hAnsi="Times New Roman" w:cs="Times New Roman"/>
        <w:sz w:val="24"/>
        <w:szCs w:val="24"/>
      </w:rPr>
      <w:t xml:space="preserve"> </w:t>
    </w:r>
    <w:sdt>
      <w:sdtPr>
        <w:rPr>
          <w:rFonts w:ascii="Times New Roman" w:hAnsi="Times New Roman" w:cs="Times New Roman"/>
          <w:sz w:val="24"/>
          <w:szCs w:val="24"/>
        </w:rPr>
        <w:id w:val="-803618166"/>
        <w:docPartObj>
          <w:docPartGallery w:val="Page Numbers (Top of Page)"/>
          <w:docPartUnique/>
        </w:docPartObj>
      </w:sdtPr>
      <w:sdtEndPr>
        <w:rPr>
          <w:rFonts w:asciiTheme="minorHAnsi" w:hAnsiTheme="minorHAnsi" w:cstheme="minorBidi"/>
          <w:noProof/>
          <w:sz w:val="22"/>
          <w:szCs w:val="22"/>
        </w:rPr>
      </w:sdtEndPr>
      <w:sdtContent>
        <w:r w:rsidRPr="00711866">
          <w:rPr>
            <w:rFonts w:ascii="Times New Roman" w:hAnsi="Times New Roman" w:cs="Times New Roman"/>
            <w:sz w:val="24"/>
            <w:szCs w:val="24"/>
          </w:rPr>
          <w:fldChar w:fldCharType="begin"/>
        </w:r>
        <w:r w:rsidRPr="00711866">
          <w:rPr>
            <w:rFonts w:ascii="Times New Roman" w:hAnsi="Times New Roman" w:cs="Times New Roman"/>
            <w:sz w:val="24"/>
            <w:szCs w:val="24"/>
          </w:rPr>
          <w:instrText xml:space="preserve"> PAGE   \* MERGEFORMAT </w:instrText>
        </w:r>
        <w:r w:rsidRPr="00711866">
          <w:rPr>
            <w:rFonts w:ascii="Times New Roman" w:hAnsi="Times New Roman" w:cs="Times New Roman"/>
            <w:sz w:val="24"/>
            <w:szCs w:val="24"/>
          </w:rPr>
          <w:fldChar w:fldCharType="separate"/>
        </w:r>
        <w:r w:rsidR="00436EA4">
          <w:rPr>
            <w:rFonts w:ascii="Times New Roman" w:hAnsi="Times New Roman" w:cs="Times New Roman"/>
            <w:noProof/>
            <w:sz w:val="24"/>
            <w:szCs w:val="24"/>
          </w:rPr>
          <w:t>1</w:t>
        </w:r>
        <w:r w:rsidRPr="00711866">
          <w:rPr>
            <w:rFonts w:ascii="Times New Roman" w:hAnsi="Times New Roman" w:cs="Times New Roman"/>
            <w:noProof/>
            <w:sz w:val="24"/>
            <w:szCs w:val="24"/>
          </w:rPr>
          <w:fldChar w:fldCharType="end"/>
        </w:r>
      </w:sdtContent>
    </w:sdt>
  </w:p>
  <w:p w:rsidR="00711866" w:rsidRDefault="007118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866"/>
    <w:rsid w:val="001B4F0A"/>
    <w:rsid w:val="001D6034"/>
    <w:rsid w:val="00293B94"/>
    <w:rsid w:val="00436EA4"/>
    <w:rsid w:val="00606F9B"/>
    <w:rsid w:val="0063400B"/>
    <w:rsid w:val="00711866"/>
    <w:rsid w:val="0071669E"/>
    <w:rsid w:val="00973DF0"/>
    <w:rsid w:val="00D84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66"/>
  </w:style>
  <w:style w:type="paragraph" w:styleId="Footer">
    <w:name w:val="footer"/>
    <w:basedOn w:val="Normal"/>
    <w:link w:val="FooterChar"/>
    <w:uiPriority w:val="99"/>
    <w:unhideWhenUsed/>
    <w:rsid w:val="00711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66"/>
  </w:style>
  <w:style w:type="paragraph" w:styleId="Footer">
    <w:name w:val="footer"/>
    <w:basedOn w:val="Normal"/>
    <w:link w:val="FooterChar"/>
    <w:uiPriority w:val="99"/>
    <w:unhideWhenUsed/>
    <w:rsid w:val="00711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2020-05-14T14:43:00Z</dcterms:created>
  <dcterms:modified xsi:type="dcterms:W3CDTF">2020-05-14T20:15:00Z</dcterms:modified>
</cp:coreProperties>
</file>